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Online Learning Agreement</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lang w:val="en-GB"/>
                              </w:rPr>
                            </w:pPr>
                            <w:r>
                              <w:rPr>
                                <w:b/>
                                <w:lang w:val="en-GB"/>
                              </w:rPr>
                              <w:t xml:space="preserve">IMPORTANT INFORMATION: For the Erasmus+ 2021-2027 programme, Learning Agreements must be managed online. Higher Education Institutions can do this by using the </w:t>
                            </w:r>
                            <w:hyperlink r:id="rId11" w:history="1">
                              <w:r>
                                <w:rPr>
                                  <w:rStyle w:val="Hyperlink"/>
                                  <w:b/>
                                  <w:lang w:val="en-GB"/>
                                </w:rPr>
                                <w:t>Online Learning Agreement platform</w:t>
                              </w:r>
                            </w:hyperlink>
                            <w:r>
                              <w:rPr>
                                <w:b/>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2" w:history="1">
                              <w:r>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tc>
          <w:tcPr>
            <w:tcW w:w="1547" w:type="dxa"/>
            <w:vMerge w:val="restart"/>
            <w:shd w:val="clear" w:color="auto" w:fill="D5DCE4" w:themeFill="text2" w:themeFillTint="33"/>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p>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pPr>
              <w:spacing w:after="0" w:line="240" w:lineRule="auto"/>
              <w:jc w:val="center"/>
              <w:rPr>
                <w:rFonts w:ascii="Calibri" w:eastAsia="Times New Roman" w:hAnsi="Calibri" w:cs="Times New Roman"/>
                <w:b/>
                <w:bCs/>
                <w:color w:val="000000"/>
                <w:sz w:val="16"/>
                <w:szCs w:val="16"/>
                <w:lang w:val="en-GB" w:eastAsia="en-GB"/>
              </w:rPr>
            </w:pP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tc>
          <w:tcPr>
            <w:tcW w:w="1547" w:type="dxa"/>
            <w:vMerge/>
            <w:shd w:val="clear" w:color="auto" w:fill="D5DCE4" w:themeFill="text2" w:themeFillTint="33"/>
            <w:vAlign w:val="bottom"/>
          </w:tcPr>
          <w:p>
            <w:pPr>
              <w:spacing w:after="0" w:line="240" w:lineRule="auto"/>
              <w:rPr>
                <w:rFonts w:ascii="Calibri" w:eastAsia="Times New Roman" w:hAnsi="Calibri" w:cs="Times New Roman"/>
                <w:color w:val="000000"/>
                <w:lang w:val="en-GB" w:eastAsia="en-GB"/>
              </w:rPr>
            </w:pPr>
          </w:p>
        </w:tc>
        <w:tc>
          <w:tcPr>
            <w:tcW w:w="1573" w:type="dxa"/>
          </w:tcPr>
          <w:p>
            <w:pPr>
              <w:spacing w:after="120" w:line="240" w:lineRule="auto"/>
              <w:ind w:right="28"/>
              <w:jc w:val="center"/>
              <w:rPr>
                <w:rFonts w:ascii="Verdana" w:eastAsia="Times New Roman" w:hAnsi="Verdana" w:cs="Arial"/>
                <w:b/>
                <w:color w:val="002060"/>
                <w:sz w:val="28"/>
                <w:szCs w:val="36"/>
                <w:lang w:val="en-GB"/>
              </w:rPr>
            </w:pPr>
          </w:p>
        </w:tc>
        <w:tc>
          <w:tcPr>
            <w:tcW w:w="1417" w:type="dxa"/>
          </w:tcPr>
          <w:p>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pPr>
              <w:spacing w:after="120" w:line="240" w:lineRule="auto"/>
              <w:ind w:right="28"/>
              <w:jc w:val="center"/>
              <w:rPr>
                <w:rFonts w:ascii="Verdana" w:eastAsia="Times New Roman" w:hAnsi="Verdana" w:cs="Arial"/>
                <w:b/>
                <w:color w:val="002060"/>
                <w:sz w:val="28"/>
                <w:szCs w:val="36"/>
                <w:lang w:val="en-GB"/>
              </w:rPr>
            </w:pPr>
          </w:p>
        </w:tc>
        <w:tc>
          <w:tcPr>
            <w:tcW w:w="2591" w:type="dxa"/>
          </w:tcPr>
          <w:p>
            <w:pPr>
              <w:spacing w:after="120" w:line="240" w:lineRule="auto"/>
              <w:ind w:right="28"/>
              <w:jc w:val="center"/>
              <w:rPr>
                <w:rFonts w:ascii="Verdana" w:eastAsia="Times New Roman" w:hAnsi="Verdana" w:cs="Arial"/>
                <w:b/>
                <w:color w:val="002060"/>
                <w:sz w:val="28"/>
                <w:szCs w:val="36"/>
                <w:lang w:val="en-GB"/>
              </w:rPr>
            </w:pPr>
          </w:p>
        </w:tc>
      </w:tr>
      <w:tr>
        <w:tc>
          <w:tcPr>
            <w:tcW w:w="1547" w:type="dxa"/>
            <w:vMerge/>
            <w:shd w:val="clear" w:color="auto" w:fill="D5DCE4" w:themeFill="text2" w:themeFillTint="33"/>
            <w:vAlign w:val="bottom"/>
          </w:tcPr>
          <w:p>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Fonts w:ascii="Calibri" w:eastAsia="Times New Roman" w:hAnsi="Calibri" w:cs="Times New Roman"/>
                <w:b/>
                <w:bCs/>
                <w:color w:val="000000"/>
                <w:sz w:val="16"/>
                <w:szCs w:val="16"/>
                <w:lang w:val="en-GB" w:eastAsia="en-GB"/>
              </w:rPr>
              <w:br/>
              <w:t>(clarification)</w:t>
            </w:r>
          </w:p>
        </w:tc>
      </w:tr>
      <w:tr>
        <w:tc>
          <w:tcPr>
            <w:tcW w:w="1547" w:type="dxa"/>
            <w:vMerge/>
            <w:shd w:val="clear" w:color="auto" w:fill="D5DCE4" w:themeFill="text2" w:themeFillTint="33"/>
            <w:vAlign w:val="bottom"/>
          </w:tcPr>
          <w:p>
            <w:pPr>
              <w:spacing w:after="0" w:line="240" w:lineRule="auto"/>
              <w:rPr>
                <w:rFonts w:ascii="Calibri" w:eastAsia="Times New Roman" w:hAnsi="Calibri" w:cs="Times New Roman"/>
                <w:color w:val="000000"/>
                <w:lang w:val="en-GB" w:eastAsia="en-GB"/>
              </w:rPr>
            </w:pPr>
          </w:p>
        </w:tc>
        <w:tc>
          <w:tcPr>
            <w:tcW w:w="2990" w:type="dxa"/>
            <w:gridSpan w:val="2"/>
          </w:tcPr>
          <w:p>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pPr>
              <w:spacing w:after="120" w:line="240" w:lineRule="auto"/>
              <w:ind w:right="28"/>
              <w:jc w:val="center"/>
              <w:rPr>
                <w:rFonts w:ascii="Verdana" w:eastAsia="Times New Roman" w:hAnsi="Verdana" w:cs="Arial"/>
                <w:b/>
                <w:color w:val="002060"/>
                <w:sz w:val="28"/>
                <w:szCs w:val="36"/>
                <w:lang w:val="en-GB"/>
              </w:rPr>
            </w:pPr>
          </w:p>
        </w:tc>
        <w:tc>
          <w:tcPr>
            <w:tcW w:w="2591" w:type="dxa"/>
          </w:tcPr>
          <w:p>
            <w:pPr>
              <w:spacing w:after="120" w:line="240" w:lineRule="auto"/>
              <w:ind w:right="28"/>
              <w:jc w:val="center"/>
              <w:rPr>
                <w:rFonts w:ascii="Verdana" w:eastAsia="Times New Roman" w:hAnsi="Verdana" w:cs="Arial"/>
                <w:b/>
                <w:color w:val="002060"/>
                <w:sz w:val="28"/>
                <w:szCs w:val="36"/>
                <w:lang w:val="en-GB"/>
              </w:rPr>
            </w:pPr>
          </w:p>
        </w:tc>
      </w:tr>
      <w:tr>
        <w:tc>
          <w:tcPr>
            <w:tcW w:w="1547" w:type="dxa"/>
            <w:vMerge w:val="restart"/>
            <w:shd w:val="clear" w:color="auto" w:fill="D5DCE4" w:themeFill="text2" w:themeFillTint="33"/>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 email; phone</w:t>
            </w:r>
          </w:p>
        </w:tc>
      </w:tr>
      <w:tr>
        <w:tc>
          <w:tcPr>
            <w:tcW w:w="1547" w:type="dxa"/>
            <w:vMerge/>
            <w:shd w:val="clear" w:color="auto" w:fill="D5DCE4" w:themeFill="text2" w:themeFillTint="33"/>
            <w:vAlign w:val="bottom"/>
          </w:tcPr>
          <w:p>
            <w:pPr>
              <w:spacing w:after="0" w:line="240" w:lineRule="auto"/>
              <w:rPr>
                <w:rFonts w:ascii="Calibri" w:eastAsia="Times New Roman" w:hAnsi="Calibri" w:cs="Times New Roman"/>
                <w:color w:val="000000"/>
                <w:lang w:val="en-GB" w:eastAsia="en-GB"/>
              </w:rPr>
            </w:pPr>
          </w:p>
        </w:tc>
        <w:tc>
          <w:tcPr>
            <w:tcW w:w="1573" w:type="dxa"/>
          </w:tcPr>
          <w:p>
            <w:pPr>
              <w:spacing w:after="120" w:line="240" w:lineRule="auto"/>
              <w:ind w:right="28"/>
              <w:jc w:val="center"/>
              <w:rPr>
                <w:rFonts w:ascii="Verdana" w:eastAsia="Times New Roman" w:hAnsi="Verdana" w:cs="Arial"/>
                <w:b/>
                <w:color w:val="002060"/>
                <w:sz w:val="12"/>
                <w:szCs w:val="36"/>
                <w:lang w:val="en-GB"/>
              </w:rPr>
            </w:pPr>
            <w:r>
              <w:rPr>
                <w:rFonts w:ascii="Verdana" w:eastAsia="Times New Roman" w:hAnsi="Verdana" w:cs="Arial"/>
                <w:b/>
                <w:color w:val="002060"/>
                <w:sz w:val="12"/>
                <w:szCs w:val="36"/>
                <w:lang w:val="en-GB"/>
              </w:rPr>
              <w:t>Universität Osnabrück</w:t>
            </w:r>
          </w:p>
        </w:tc>
        <w:tc>
          <w:tcPr>
            <w:tcW w:w="1949" w:type="dxa"/>
            <w:gridSpan w:val="2"/>
          </w:tcPr>
          <w:p>
            <w:pPr>
              <w:spacing w:after="120" w:line="240" w:lineRule="auto"/>
              <w:ind w:right="28"/>
              <w:jc w:val="center"/>
              <w:rPr>
                <w:rFonts w:ascii="Verdana" w:eastAsia="Times New Roman" w:hAnsi="Verdana" w:cs="Arial"/>
                <w:b/>
                <w:color w:val="002060"/>
                <w:sz w:val="12"/>
                <w:szCs w:val="36"/>
                <w:lang w:val="en-GB"/>
              </w:rPr>
            </w:pPr>
            <w:r>
              <w:rPr>
                <w:rFonts w:ascii="Verdana" w:eastAsia="Times New Roman" w:hAnsi="Verdana" w:cs="Arial"/>
                <w:b/>
                <w:color w:val="002060"/>
                <w:sz w:val="12"/>
                <w:szCs w:val="36"/>
                <w:lang w:val="en-GB"/>
              </w:rPr>
              <w:t>International Office</w:t>
            </w:r>
          </w:p>
        </w:tc>
        <w:tc>
          <w:tcPr>
            <w:tcW w:w="1251" w:type="dxa"/>
          </w:tcPr>
          <w:p>
            <w:pPr>
              <w:spacing w:after="120" w:line="240" w:lineRule="auto"/>
              <w:ind w:right="28"/>
              <w:jc w:val="center"/>
              <w:rPr>
                <w:rFonts w:ascii="Verdana" w:eastAsia="Times New Roman" w:hAnsi="Verdana" w:cs="Arial"/>
                <w:b/>
                <w:color w:val="002060"/>
                <w:sz w:val="12"/>
                <w:szCs w:val="36"/>
                <w:lang w:val="en-GB"/>
              </w:rPr>
            </w:pPr>
            <w:r>
              <w:rPr>
                <w:rFonts w:ascii="Verdana" w:eastAsia="Times New Roman" w:hAnsi="Verdana" w:cs="Arial"/>
                <w:b/>
                <w:color w:val="002060"/>
                <w:sz w:val="12"/>
                <w:szCs w:val="36"/>
                <w:lang w:val="en-GB"/>
              </w:rPr>
              <w:t>D OSNABRU01</w:t>
            </w:r>
          </w:p>
        </w:tc>
        <w:tc>
          <w:tcPr>
            <w:tcW w:w="1619" w:type="dxa"/>
          </w:tcPr>
          <w:p>
            <w:pPr>
              <w:spacing w:after="120" w:line="240" w:lineRule="auto"/>
              <w:ind w:right="28"/>
              <w:jc w:val="center"/>
              <w:rPr>
                <w:rFonts w:ascii="Verdana" w:eastAsia="Times New Roman" w:hAnsi="Verdana" w:cs="Arial"/>
                <w:b/>
                <w:color w:val="002060"/>
                <w:sz w:val="12"/>
                <w:szCs w:val="36"/>
                <w:lang w:val="en-GB"/>
              </w:rPr>
            </w:pPr>
            <w:r>
              <w:rPr>
                <w:rFonts w:ascii="Verdana" w:eastAsia="Times New Roman" w:hAnsi="Verdana" w:cs="Arial"/>
                <w:b/>
                <w:color w:val="002060"/>
                <w:sz w:val="12"/>
                <w:szCs w:val="36"/>
                <w:lang w:val="en-GB"/>
              </w:rPr>
              <w:t>Germany</w:t>
            </w:r>
          </w:p>
        </w:tc>
        <w:tc>
          <w:tcPr>
            <w:tcW w:w="3260" w:type="dxa"/>
            <w:gridSpan w:val="2"/>
          </w:tcPr>
          <w:p>
            <w:pPr>
              <w:spacing w:after="120" w:line="240" w:lineRule="auto"/>
              <w:ind w:right="28"/>
              <w:jc w:val="center"/>
              <w:rPr>
                <w:rFonts w:ascii="Verdana" w:eastAsia="Times New Roman" w:hAnsi="Verdana" w:cs="Arial"/>
                <w:b/>
                <w:color w:val="002060"/>
                <w:sz w:val="12"/>
                <w:szCs w:val="36"/>
                <w:lang w:val="en-GB"/>
              </w:rPr>
            </w:pPr>
            <w:r>
              <w:rPr>
                <w:rFonts w:ascii="Verdana" w:eastAsia="Times New Roman" w:hAnsi="Verdana" w:cs="Arial"/>
                <w:b/>
                <w:color w:val="002060"/>
                <w:sz w:val="12"/>
                <w:szCs w:val="36"/>
                <w:lang w:val="en-GB"/>
              </w:rPr>
              <w:t>Laura Rohe</w:t>
            </w:r>
          </w:p>
          <w:p>
            <w:pPr>
              <w:spacing w:after="120" w:line="240" w:lineRule="auto"/>
              <w:ind w:right="28"/>
              <w:jc w:val="center"/>
              <w:rPr>
                <w:rFonts w:ascii="Verdana" w:eastAsia="Times New Roman" w:hAnsi="Verdana" w:cs="Arial"/>
                <w:b/>
                <w:color w:val="002060"/>
                <w:sz w:val="12"/>
                <w:szCs w:val="36"/>
                <w:lang w:val="en-GB"/>
              </w:rPr>
            </w:pPr>
            <w:r>
              <w:rPr>
                <w:rFonts w:ascii="Verdana" w:eastAsia="Times New Roman" w:hAnsi="Verdana" w:cs="Arial"/>
                <w:b/>
                <w:color w:val="002060"/>
                <w:sz w:val="12"/>
                <w:szCs w:val="36"/>
                <w:lang w:val="en-GB"/>
              </w:rPr>
              <w:t>Laura.rohe@uos.de</w:t>
            </w:r>
          </w:p>
        </w:tc>
      </w:tr>
      <w:tr>
        <w:tc>
          <w:tcPr>
            <w:tcW w:w="1547" w:type="dxa"/>
            <w:vMerge w:val="restart"/>
            <w:shd w:val="clear" w:color="auto" w:fill="D5DCE4" w:themeFill="text2" w:themeFillTint="33"/>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 email; phone</w:t>
            </w:r>
          </w:p>
        </w:tc>
      </w:tr>
      <w:tr>
        <w:tc>
          <w:tcPr>
            <w:tcW w:w="1547" w:type="dxa"/>
            <w:vMerge/>
            <w:shd w:val="clear" w:color="auto" w:fill="D5DCE4" w:themeFill="text2" w:themeFillTint="33"/>
            <w:vAlign w:val="bottom"/>
          </w:tcPr>
          <w:p>
            <w:pPr>
              <w:spacing w:after="0" w:line="240" w:lineRule="auto"/>
              <w:rPr>
                <w:rFonts w:ascii="Calibri" w:eastAsia="Times New Roman" w:hAnsi="Calibri" w:cs="Times New Roman"/>
                <w:color w:val="000000"/>
                <w:lang w:val="en-GB" w:eastAsia="en-GB"/>
              </w:rPr>
            </w:pPr>
          </w:p>
        </w:tc>
        <w:tc>
          <w:tcPr>
            <w:tcW w:w="1573" w:type="dxa"/>
          </w:tcPr>
          <w:p>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pPr>
              <w:spacing w:after="120" w:line="240" w:lineRule="auto"/>
              <w:ind w:right="28"/>
              <w:jc w:val="center"/>
              <w:rPr>
                <w:rFonts w:ascii="Verdana" w:eastAsia="Times New Roman" w:hAnsi="Verdana" w:cs="Arial"/>
                <w:b/>
                <w:color w:val="002060"/>
                <w:sz w:val="28"/>
                <w:szCs w:val="36"/>
                <w:lang w:val="en-GB"/>
              </w:rPr>
            </w:pPr>
          </w:p>
        </w:tc>
        <w:tc>
          <w:tcPr>
            <w:tcW w:w="1251" w:type="dxa"/>
          </w:tcPr>
          <w:p>
            <w:pPr>
              <w:spacing w:after="120" w:line="240" w:lineRule="auto"/>
              <w:ind w:right="28"/>
              <w:jc w:val="center"/>
              <w:rPr>
                <w:rFonts w:ascii="Verdana" w:eastAsia="Times New Roman" w:hAnsi="Verdana" w:cs="Arial"/>
                <w:b/>
                <w:color w:val="002060"/>
                <w:sz w:val="28"/>
                <w:szCs w:val="36"/>
                <w:lang w:val="en-GB"/>
              </w:rPr>
            </w:pPr>
          </w:p>
        </w:tc>
        <w:tc>
          <w:tcPr>
            <w:tcW w:w="1619" w:type="dxa"/>
          </w:tcPr>
          <w:p>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pPr>
              <w:spacing w:after="120" w:line="240" w:lineRule="auto"/>
              <w:ind w:right="28"/>
              <w:jc w:val="center"/>
              <w:rPr>
                <w:rFonts w:ascii="Verdana" w:eastAsia="Times New Roman" w:hAnsi="Verdana" w:cs="Arial"/>
                <w:b/>
                <w:color w:val="002060"/>
                <w:sz w:val="28"/>
                <w:szCs w:val="36"/>
                <w:lang w:val="en-GB"/>
              </w:rPr>
            </w:pPr>
          </w:p>
        </w:tc>
      </w:tr>
      <w:tr>
        <w:tc>
          <w:tcPr>
            <w:tcW w:w="11199" w:type="dxa"/>
            <w:gridSpan w:val="8"/>
            <w:shd w:val="clear" w:color="auto" w:fill="D5DCE4" w:themeFill="text2" w:themeFillTint="33"/>
            <w:vAlign w:val="bottom"/>
          </w:tcPr>
          <w:p>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 xml:space="preserve">The level of language competence in </w:t>
            </w:r>
            <w:r>
              <w:rPr>
                <w:rFonts w:ascii="Calibri" w:eastAsia="Times New Roman" w:hAnsi="Calibri" w:cs="Times New Roman"/>
                <w:bCs/>
                <w:color w:val="000000"/>
                <w:sz w:val="16"/>
                <w:szCs w:val="16"/>
                <w:lang w:val="en-GB" w:eastAsia="en-GB"/>
              </w:rPr>
              <w:t>________ [indicate here the main language of instruction] that</w:t>
            </w:r>
            <w:r>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bl>
    <w:p>
      <w:pPr>
        <w:spacing w:after="120" w:line="240" w:lineRule="auto"/>
        <w:ind w:right="28"/>
        <w:jc w:val="center"/>
        <w:rPr>
          <w:rFonts w:ascii="Verdana" w:eastAsia="Times New Roman" w:hAnsi="Verdana" w:cs="Arial"/>
          <w:b/>
          <w:color w:val="002060"/>
          <w:sz w:val="28"/>
          <w:szCs w:val="36"/>
        </w:rPr>
      </w:pP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tc>
          <w:tcPr>
            <w:tcW w:w="6380" w:type="dxa"/>
            <w:shd w:val="clear" w:color="auto" w:fill="D5DCE4" w:themeFill="text2" w:themeFillTint="33"/>
          </w:tcPr>
          <w:p>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trPr>
          <w:trHeight w:val="1173"/>
        </w:trPr>
        <w:tc>
          <w:tcPr>
            <w:tcW w:w="6380" w:type="dxa"/>
          </w:tcPr>
          <w:p>
            <w:pPr>
              <w:spacing w:after="0" w:line="360" w:lineRule="auto"/>
              <w:rPr>
                <w:rFonts w:ascii="Calibri" w:eastAsia="Times New Roman" w:hAnsi="Calibri" w:cs="Times New Roman"/>
                <w:iCs/>
                <w:color w:val="000000"/>
                <w:sz w:val="16"/>
                <w:szCs w:val="16"/>
                <w:lang w:val="en-GB" w:eastAsia="en-GB"/>
              </w:rPr>
            </w:pPr>
          </w:p>
          <w:p>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Semester(s)</w:t>
            </w:r>
            <w:r>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6"/>
                <w:szCs w:val="16"/>
                <w:lang w:val="en-GB" w:eastAsia="en-GB"/>
              </w:rPr>
              <w:t xml:space="preserve">   /  Virtual component </w:t>
            </w:r>
            <w:r>
              <w:rPr>
                <w:rFonts w:ascii="Calibri" w:eastAsia="Times New Roman" w:hAnsi="Calibri" w:cs="Times New Roman"/>
                <w:i/>
                <w:iCs/>
                <w:color w:val="000000"/>
                <w:sz w:val="16"/>
                <w:szCs w:val="16"/>
                <w:lang w:val="en-GB" w:eastAsia="en-GB"/>
              </w:rPr>
              <w:t>(only if applicable</w:t>
            </w:r>
            <w:r>
              <w:rPr>
                <w:rFonts w:ascii="Calibri" w:eastAsia="Times New Roman" w:hAnsi="Calibri" w:cs="Times New Roman"/>
                <w:bCs/>
                <w:i/>
                <w:iCs/>
                <w:color w:val="000000"/>
                <w:sz w:val="16"/>
                <w:szCs w:val="16"/>
                <w:lang w:val="en-GB" w:eastAsia="en-GB"/>
              </w:rPr>
              <w:t>)</w:t>
            </w:r>
            <w:r>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p>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 xml:space="preserve">Blended mobility with short-term physical mobility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p>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6"/>
                <w:szCs w:val="16"/>
                <w:lang w:val="en-GB" w:eastAsia="en-GB"/>
              </w:rPr>
              <w:t xml:space="preserve">  /  Virtual component  </w:t>
            </w:r>
            <w:r>
              <w:rPr>
                <w:rFonts w:ascii="Calibri" w:eastAsia="Times New Roman" w:hAnsi="Calibri" w:cs="Times New Roman"/>
                <w:i/>
                <w:iCs/>
                <w:color w:val="000000"/>
                <w:sz w:val="16"/>
                <w:szCs w:val="16"/>
                <w:lang w:val="en-GB" w:eastAsia="en-GB"/>
              </w:rPr>
              <w:t>(only if applicable</w:t>
            </w:r>
            <w:r>
              <w:rPr>
                <w:rFonts w:ascii="Calibri" w:eastAsia="Times New Roman" w:hAnsi="Calibri" w:cs="Times New Roman"/>
                <w:bCs/>
                <w:i/>
                <w:iCs/>
                <w:color w:val="000000"/>
                <w:sz w:val="16"/>
                <w:szCs w:val="16"/>
                <w:lang w:val="en-GB" w:eastAsia="en-GB"/>
              </w:rPr>
              <w:t>)</w:t>
            </w:r>
            <w:r>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4819" w:type="dxa"/>
          </w:tcPr>
          <w:p>
            <w:p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Planned period of the physical mobility:</w:t>
            </w:r>
          </w:p>
          <w:p>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from [day (optional)/month/year] …………….</w:t>
            </w:r>
          </w:p>
          <w:p>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to [day (optional)/month/year] ……………</w:t>
            </w:r>
          </w:p>
        </w:tc>
      </w:tr>
      <w:tr>
        <w:trPr>
          <w:trHeight w:val="198"/>
        </w:trPr>
        <w:tc>
          <w:tcPr>
            <w:tcW w:w="11199" w:type="dxa"/>
            <w:gridSpan w:val="2"/>
            <w:shd w:val="clear" w:color="auto" w:fill="002060"/>
          </w:tcPr>
          <w:p>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tc>
      </w:tr>
    </w:tbl>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br/>
            </w:r>
          </w:p>
        </w:tc>
      </w:tr>
      <w:tr>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ascii="Calibri" w:eastAsia="Times New Roman" w:hAnsi="Calibri" w:cs="Times New Roman"/>
                <w:b/>
                <w:bCs/>
                <w:color w:val="000000"/>
                <w:sz w:val="16"/>
                <w:szCs w:val="16"/>
                <w:lang w:val="en-GB" w:eastAsia="en-GB"/>
              </w:rPr>
              <w:t>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trPr>
          <w:trHeight w:val="191"/>
        </w:trPr>
        <w:tc>
          <w:tcPr>
            <w:tcW w:w="1612"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91"/>
        </w:trPr>
        <w:tc>
          <w:tcPr>
            <w:tcW w:w="1612"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91"/>
        </w:trPr>
        <w:tc>
          <w:tcPr>
            <w:tcW w:w="1612"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91"/>
        </w:trPr>
        <w:tc>
          <w:tcPr>
            <w:tcW w:w="1612"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Web link to the course catalogue at the Receiving Institution describing the learning outcomes: [</w:t>
            </w:r>
            <w:r>
              <w:rPr>
                <w:rFonts w:ascii="Calibri" w:eastAsia="Times New Roman" w:hAnsi="Calibri" w:cs="Times New Roman"/>
                <w:i/>
                <w:iCs/>
                <w:color w:val="000000"/>
                <w:sz w:val="16"/>
                <w:szCs w:val="16"/>
                <w:lang w:val="en-GB" w:eastAsia="en-GB"/>
              </w:rPr>
              <w:t>web link to the relevant information</w:t>
            </w:r>
            <w:r>
              <w:rPr>
                <w:rFonts w:ascii="Calibri" w:eastAsia="Times New Roman" w:hAnsi="Calibri" w:cs="Times New Roman"/>
                <w:color w:val="000000"/>
                <w:sz w:val="16"/>
                <w:szCs w:val="16"/>
                <w:lang w:val="en-GB" w:eastAsia="en-GB"/>
              </w:rPr>
              <w:t>]</w:t>
            </w:r>
          </w:p>
        </w:tc>
      </w:tr>
    </w:tbl>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p>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Recognition at the Sending Institution</w:t>
      </w:r>
    </w:p>
    <w:p>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pPr>
              <w:spacing w:after="0" w:line="240" w:lineRule="auto"/>
              <w:jc w:val="center"/>
              <w:rPr>
                <w:rFonts w:ascii="Calibri" w:eastAsia="Times New Roman" w:hAnsi="Calibri" w:cs="Times New Roman"/>
                <w:b/>
                <w:bCs/>
                <w:i/>
                <w:iCs/>
                <w:color w:val="000000"/>
                <w:sz w:val="12"/>
                <w:szCs w:val="12"/>
                <w:lang w:val="en-GB" w:eastAsia="en-GB"/>
              </w:rPr>
            </w:pPr>
          </w:p>
          <w:p>
            <w:pPr>
              <w:spacing w:after="0" w:line="240" w:lineRule="auto"/>
              <w:jc w:val="center"/>
              <w:rPr>
                <w:rFonts w:ascii="Calibri" w:eastAsia="Times New Roman" w:hAnsi="Calibri" w:cs="Times New Roman"/>
                <w:b/>
                <w:bCs/>
                <w:i/>
                <w:iCs/>
                <w:color w:val="000000"/>
                <w:sz w:val="12"/>
                <w:szCs w:val="12"/>
                <w:lang w:val="en-GB" w:eastAsia="en-GB"/>
              </w:rPr>
            </w:pPr>
          </w:p>
        </w:tc>
      </w:tr>
      <w:tr>
        <w:trPr>
          <w:trHeight w:val="727"/>
        </w:trPr>
        <w:tc>
          <w:tcPr>
            <w:tcW w:w="1648" w:type="dxa"/>
            <w:tcBorders>
              <w:top w:val="nil"/>
              <w:left w:val="double" w:sz="6" w:space="0" w:color="auto"/>
              <w:bottom w:val="nil"/>
              <w:right w:val="nil"/>
            </w:tcBorders>
            <w:shd w:val="clear" w:color="auto" w:fill="D5DCE4" w:themeFill="text2" w:themeFillTint="33"/>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p>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132"/>
        </w:trPr>
        <w:tc>
          <w:tcPr>
            <w:tcW w:w="1648"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132"/>
        </w:trPr>
        <w:tc>
          <w:tcPr>
            <w:tcW w:w="1648"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132"/>
        </w:trPr>
        <w:tc>
          <w:tcPr>
            <w:tcW w:w="1648"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132"/>
        </w:trPr>
        <w:tc>
          <w:tcPr>
            <w:tcW w:w="1648" w:type="dxa"/>
            <w:tcBorders>
              <w:top w:val="nil"/>
              <w:left w:val="double" w:sz="6" w:space="0" w:color="auto"/>
              <w:bottom w:val="nil"/>
              <w:right w:val="nil"/>
            </w:tcBorders>
            <w:shd w:val="clear" w:color="auto" w:fill="D5DCE4" w:themeFill="text2" w:themeFillTint="33"/>
            <w:noWrap/>
            <w:vAlign w:val="bottom"/>
          </w:tcPr>
          <w:p>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pPr>
              <w:spacing w:after="0" w:line="240" w:lineRule="auto"/>
              <w:jc w:val="center"/>
              <w:rPr>
                <w:rFonts w:ascii="Calibri" w:eastAsia="Times New Roman" w:hAnsi="Calibri" w:cs="Times New Roman"/>
                <w:b/>
                <w:bCs/>
                <w:color w:val="000000"/>
                <w:sz w:val="16"/>
                <w:szCs w:val="16"/>
                <w:lang w:val="en-GB" w:eastAsia="en-GB"/>
              </w:rPr>
            </w:pPr>
          </w:p>
        </w:tc>
      </w:tr>
      <w:tr>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i/>
                <w:iCs/>
                <w:color w:val="000000"/>
                <w:sz w:val="16"/>
                <w:szCs w:val="16"/>
                <w:lang w:val="en-GB" w:eastAsia="en-GB"/>
              </w:rPr>
              <w:t>[web link to the relevant information]</w:t>
            </w:r>
          </w:p>
        </w:tc>
      </w:tr>
    </w:tbl>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trPr>
          <w:trHeight w:hRule="exact" w:val="706"/>
        </w:trPr>
        <w:tc>
          <w:tcPr>
            <w:tcW w:w="1053" w:type="dxa"/>
            <w:vMerge w:val="restart"/>
            <w:shd w:val="clear" w:color="auto" w:fill="D5DCE4" w:themeFill="text2" w:themeFillTint="33"/>
          </w:tcPr>
          <w:p>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Component </w:t>
            </w:r>
          </w:p>
          <w:p>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or description of the study</w:t>
            </w:r>
          </w:p>
          <w:p>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 Institution</w:t>
            </w:r>
          </w:p>
        </w:tc>
        <w:tc>
          <w:tcPr>
            <w:tcW w:w="3066" w:type="dxa"/>
            <w:shd w:val="clear" w:color="auto" w:fill="D0CECE" w:themeFill="background2" w:themeFillShade="E6"/>
          </w:tcPr>
          <w:p>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pPr>
              <w:spacing w:after="0" w:line="240" w:lineRule="auto"/>
              <w:ind w:right="-993"/>
              <w:rPr>
                <w:rFonts w:cs="Calibri"/>
                <w:b/>
                <w:sz w:val="16"/>
                <w:szCs w:val="16"/>
                <w:lang w:val="en-GB"/>
              </w:rPr>
            </w:pPr>
            <w:r>
              <w:rPr>
                <w:rFonts w:cs="Calibri"/>
                <w:b/>
                <w:sz w:val="16"/>
                <w:szCs w:val="16"/>
                <w:lang w:val="en-GB"/>
              </w:rPr>
              <w:t>(obligatory field):</w:t>
            </w:r>
          </w:p>
          <w:p>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trPr>
          <w:trHeight w:hRule="exact" w:val="289"/>
        </w:trPr>
        <w:tc>
          <w:tcPr>
            <w:tcW w:w="1053" w:type="dxa"/>
            <w:vMerge/>
            <w:shd w:val="clear" w:color="auto" w:fill="D5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eastAsia="Times New Roman" w:hAnsi="Calibri" w:cs="Times New Roman"/>
                <w:color w:val="000000"/>
                <w:sz w:val="16"/>
                <w:szCs w:val="16"/>
                <w:lang w:val="en-GB" w:eastAsia="en-GB"/>
              </w:rPr>
            </w:pPr>
          </w:p>
        </w:tc>
        <w:tc>
          <w:tcPr>
            <w:tcW w:w="1276" w:type="dxa"/>
          </w:tcPr>
          <w:p>
            <w:pPr>
              <w:rPr>
                <w:rFonts w:ascii="Calibri" w:eastAsia="Times New Roman" w:hAnsi="Calibri" w:cs="Times New Roman"/>
                <w:color w:val="000000"/>
                <w:sz w:val="16"/>
                <w:szCs w:val="16"/>
                <w:lang w:val="en-GB" w:eastAsia="en-GB"/>
              </w:rPr>
            </w:pPr>
          </w:p>
        </w:tc>
        <w:tc>
          <w:tcPr>
            <w:tcW w:w="1423" w:type="dxa"/>
            <w:vAlign w:val="bottom"/>
          </w:tcPr>
          <w:p>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hRule="exact" w:val="289"/>
        </w:trPr>
        <w:tc>
          <w:tcPr>
            <w:tcW w:w="1053" w:type="dxa"/>
            <w:vMerge/>
            <w:shd w:val="clear" w:color="auto" w:fill="D5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eastAsia="Times New Roman" w:hAnsi="Calibri" w:cs="Times New Roman"/>
                <w:color w:val="000000"/>
                <w:sz w:val="16"/>
                <w:szCs w:val="16"/>
                <w:lang w:val="en-GB" w:eastAsia="en-GB"/>
              </w:rPr>
            </w:pPr>
          </w:p>
        </w:tc>
        <w:tc>
          <w:tcPr>
            <w:tcW w:w="1276" w:type="dxa"/>
          </w:tcPr>
          <w:p>
            <w:pPr>
              <w:rPr>
                <w:rFonts w:ascii="Calibri" w:eastAsia="Times New Roman" w:hAnsi="Calibri" w:cs="Times New Roman"/>
                <w:color w:val="000000"/>
                <w:sz w:val="16"/>
                <w:szCs w:val="16"/>
                <w:lang w:val="en-GB" w:eastAsia="en-GB"/>
              </w:rPr>
            </w:pPr>
          </w:p>
        </w:tc>
        <w:tc>
          <w:tcPr>
            <w:tcW w:w="1423" w:type="dxa"/>
            <w:vAlign w:val="bottom"/>
          </w:tcPr>
          <w:p>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hRule="exact" w:val="289"/>
        </w:trPr>
        <w:tc>
          <w:tcPr>
            <w:tcW w:w="1053" w:type="dxa"/>
            <w:vMerge/>
            <w:shd w:val="clear" w:color="auto" w:fill="D5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eastAsia="Times New Roman" w:hAnsi="Calibri" w:cs="Times New Roman"/>
                <w:color w:val="000000"/>
                <w:sz w:val="16"/>
                <w:szCs w:val="16"/>
                <w:lang w:val="en-GB" w:eastAsia="en-GB"/>
              </w:rPr>
            </w:pPr>
          </w:p>
        </w:tc>
        <w:tc>
          <w:tcPr>
            <w:tcW w:w="1276" w:type="dxa"/>
          </w:tcPr>
          <w:p>
            <w:pPr>
              <w:rPr>
                <w:rFonts w:ascii="Calibri" w:eastAsia="Times New Roman" w:hAnsi="Calibri" w:cs="Times New Roman"/>
                <w:color w:val="000000"/>
                <w:sz w:val="16"/>
                <w:szCs w:val="16"/>
                <w:lang w:val="en-GB" w:eastAsia="en-GB"/>
              </w:rPr>
            </w:pPr>
          </w:p>
        </w:tc>
        <w:tc>
          <w:tcPr>
            <w:tcW w:w="1423" w:type="dxa"/>
            <w:vAlign w:val="bottom"/>
          </w:tcPr>
          <w:p>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trPr>
          <w:trHeight w:hRule="exact" w:val="289"/>
        </w:trPr>
        <w:tc>
          <w:tcPr>
            <w:tcW w:w="1053" w:type="dxa"/>
            <w:vMerge/>
            <w:shd w:val="clear" w:color="auto" w:fill="D5DCE4" w:themeFill="text2" w:themeFillTint="33"/>
          </w:tcPr>
          <w:p>
            <w:pPr>
              <w:ind w:right="-993"/>
              <w:rPr>
                <w:rFonts w:cs="Calibri"/>
                <w:b/>
                <w:sz w:val="16"/>
                <w:szCs w:val="16"/>
                <w:lang w:val="en-GB"/>
              </w:rPr>
            </w:pPr>
          </w:p>
        </w:tc>
        <w:tc>
          <w:tcPr>
            <w:tcW w:w="1358" w:type="dxa"/>
          </w:tcPr>
          <w:p>
            <w:pPr>
              <w:ind w:right="-993"/>
              <w:rPr>
                <w:rFonts w:cs="Calibri"/>
                <w:b/>
                <w:sz w:val="16"/>
                <w:szCs w:val="16"/>
                <w:lang w:val="en-GB"/>
              </w:rPr>
            </w:pPr>
          </w:p>
        </w:tc>
        <w:tc>
          <w:tcPr>
            <w:tcW w:w="3029" w:type="dxa"/>
          </w:tcPr>
          <w:p>
            <w:pPr>
              <w:ind w:right="-993"/>
              <w:rPr>
                <w:rFonts w:cs="Calibri"/>
                <w:b/>
                <w:sz w:val="16"/>
                <w:szCs w:val="16"/>
                <w:lang w:val="en-GB"/>
              </w:rPr>
            </w:pPr>
          </w:p>
        </w:tc>
        <w:tc>
          <w:tcPr>
            <w:tcW w:w="3066" w:type="dxa"/>
          </w:tcPr>
          <w:p>
            <w:pPr>
              <w:rPr>
                <w:rFonts w:ascii="Calibri" w:eastAsia="Times New Roman" w:hAnsi="Calibri" w:cs="Times New Roman"/>
                <w:color w:val="000000"/>
                <w:sz w:val="16"/>
                <w:szCs w:val="16"/>
                <w:lang w:val="en-GB" w:eastAsia="en-GB"/>
              </w:rPr>
            </w:pPr>
          </w:p>
        </w:tc>
        <w:tc>
          <w:tcPr>
            <w:tcW w:w="1276" w:type="dxa"/>
          </w:tcPr>
          <w:p>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423" w:type="dxa"/>
            <w:vAlign w:val="bottom"/>
          </w:tcPr>
          <w:p>
            <w:pPr>
              <w:jc w:val="center"/>
              <w:rPr>
                <w:rFonts w:ascii="Calibri" w:eastAsia="Times New Roman" w:hAnsi="Calibri" w:cs="Times New Roman"/>
                <w:i/>
                <w:iCs/>
                <w:color w:val="000000"/>
                <w:sz w:val="16"/>
                <w:szCs w:val="16"/>
                <w:lang w:val="en-GB" w:eastAsia="en-GB"/>
              </w:rPr>
            </w:pPr>
          </w:p>
        </w:tc>
      </w:tr>
    </w:tbl>
    <w:p>
      <w:pPr>
        <w:spacing w:after="120" w:line="240" w:lineRule="auto"/>
        <w:ind w:right="28"/>
        <w:jc w:val="center"/>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2432"/>
        <w:tblW w:w="10891" w:type="dxa"/>
        <w:tblLayout w:type="fixed"/>
        <w:tblLook w:val="04A0" w:firstRow="1" w:lastRow="0" w:firstColumn="1" w:lastColumn="0" w:noHBand="0" w:noVBand="1"/>
      </w:tblPr>
      <w:tblGrid>
        <w:gridCol w:w="2612"/>
        <w:gridCol w:w="2032"/>
        <w:gridCol w:w="2036"/>
        <w:gridCol w:w="1629"/>
        <w:gridCol w:w="1086"/>
        <w:gridCol w:w="1496"/>
      </w:tblGrid>
      <w:tr>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ind w:right="14"/>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digitally signing</w:t>
            </w:r>
            <w:r>
              <w:rPr>
                <w:rStyle w:val="Kommentarzeichen"/>
              </w:rPr>
              <w:t xml:space="preserve"> </w:t>
            </w:r>
            <w:r>
              <w:rPr>
                <w:rFonts w:ascii="Calibri" w:eastAsia="Times New Roman" w:hAnsi="Calibri" w:cs="Times New Roman"/>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Digital Signature</w:t>
            </w:r>
          </w:p>
        </w:tc>
      </w:tr>
      <w:tr>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p>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r>
      <w:tr>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pPr>
              <w:spacing w:after="0" w:line="240" w:lineRule="auto"/>
              <w:jc w:val="center"/>
              <w:rPr>
                <w:rFonts w:ascii="Calibri" w:eastAsia="Times New Roman" w:hAnsi="Calibri" w:cs="Times New Roman"/>
                <w:b/>
                <w:bCs/>
                <w:color w:val="000000"/>
                <w:sz w:val="16"/>
                <w:szCs w:val="16"/>
                <w:lang w:val="en-GB" w:eastAsia="en-GB"/>
              </w:rPr>
            </w:pPr>
          </w:p>
        </w:tc>
      </w:tr>
    </w:tbl>
    <w:p>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pPr>
        <w:spacing w:after="120" w:line="240" w:lineRule="auto"/>
        <w:ind w:right="28"/>
        <w:jc w:val="center"/>
        <w:rPr>
          <w:rFonts w:ascii="Verdana" w:eastAsia="Times New Roman" w:hAnsi="Verdana" w:cs="Arial"/>
          <w:b/>
          <w:i/>
          <w:color w:val="002060"/>
          <w:sz w:val="24"/>
          <w:szCs w:val="36"/>
          <w:lang w:val="en-GB"/>
        </w:rPr>
      </w:pPr>
    </w:p>
    <w:p>
      <w:pPr>
        <w:spacing w:after="120" w:line="240" w:lineRule="auto"/>
        <w:ind w:right="28"/>
        <w:rPr>
          <w:rFonts w:ascii="Verdana" w:eastAsia="Times New Roman" w:hAnsi="Verdana" w:cs="Arial"/>
          <w:b/>
          <w:color w:val="002060"/>
          <w:sz w:val="28"/>
          <w:szCs w:val="36"/>
          <w:lang w:val="en-GB"/>
        </w:rPr>
      </w:pPr>
    </w:p>
    <w:p>
      <w:pPr>
        <w:spacing w:after="120" w:line="240" w:lineRule="auto"/>
        <w:ind w:right="28"/>
        <w:rPr>
          <w:rFonts w:ascii="Verdana" w:eastAsia="Times New Roman" w:hAnsi="Verdana" w:cs="Arial"/>
          <w:b/>
          <w:color w:val="002060"/>
          <w:sz w:val="28"/>
          <w:szCs w:val="36"/>
          <w:lang w:val="en-GB"/>
        </w:rPr>
      </w:pP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tc>
          <w:tcPr>
            <w:tcW w:w="2376" w:type="dxa"/>
            <w:shd w:val="clear" w:color="auto" w:fill="D5DCE4" w:themeFill="text2" w:themeFillTint="33"/>
          </w:tcPr>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306" w:type="dxa"/>
            <w:shd w:val="clear" w:color="auto" w:fill="D5DCE4" w:themeFill="text2" w:themeFillTint="33"/>
          </w:tcPr>
          <w:p>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tc>
          <w:tcPr>
            <w:tcW w:w="2376" w:type="dxa"/>
          </w:tcPr>
          <w:p>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306" w:type="dxa"/>
          </w:tcPr>
          <w:p>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tc>
          <w:tcPr>
            <w:tcW w:w="2376" w:type="dxa"/>
          </w:tcPr>
          <w:p>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306" w:type="dxa"/>
          </w:tcPr>
          <w:p>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Pr>
                  <w:rStyle w:val="Hyperlink"/>
                  <w:sz w:val="20"/>
                  <w:lang w:val="en-GB"/>
                </w:rPr>
                <w:t>Erasmus Without Paper Competence Centre</w:t>
              </w:r>
            </w:hyperlink>
            <w:r>
              <w:rPr>
                <w:sz w:val="20"/>
                <w:lang w:val="en-GB"/>
              </w:rPr>
              <w:t>.</w:t>
            </w:r>
          </w:p>
        </w:tc>
      </w:tr>
      <w:tr>
        <w:tc>
          <w:tcPr>
            <w:tcW w:w="2376" w:type="dxa"/>
          </w:tcPr>
          <w:p>
            <w:pPr>
              <w:spacing w:after="120" w:line="240" w:lineRule="auto"/>
              <w:ind w:right="28"/>
              <w:rPr>
                <w:b/>
                <w:sz w:val="20"/>
                <w:lang w:val="en-GB"/>
              </w:rPr>
            </w:pPr>
            <w:r>
              <w:rPr>
                <w:b/>
                <w:sz w:val="20"/>
                <w:lang w:val="en-GB"/>
              </w:rPr>
              <w:t>Study cycle</w:t>
            </w:r>
          </w:p>
        </w:tc>
        <w:tc>
          <w:tcPr>
            <w:tcW w:w="8306" w:type="dxa"/>
          </w:tcPr>
          <w:p>
            <w:pPr>
              <w:pStyle w:val="Funoten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tc>
          <w:tcPr>
            <w:tcW w:w="2376" w:type="dxa"/>
          </w:tcPr>
          <w:p>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306" w:type="dxa"/>
          </w:tcPr>
          <w:p>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7" w:history="1">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8" w:history="1">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tc>
          <w:tcPr>
            <w:tcW w:w="2376" w:type="dxa"/>
          </w:tcPr>
          <w:p>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306" w:type="dxa"/>
          </w:tcPr>
          <w:p>
            <w:pPr>
              <w:pStyle w:val="Endnoten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trPr>
          <w:trHeight w:val="70"/>
        </w:trPr>
        <w:tc>
          <w:tcPr>
            <w:tcW w:w="2376" w:type="dxa"/>
          </w:tcPr>
          <w:p>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306" w:type="dxa"/>
          </w:tcPr>
          <w:p>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trPr>
          <w:trHeight w:val="70"/>
        </w:trPr>
        <w:tc>
          <w:tcPr>
            <w:tcW w:w="2376" w:type="dxa"/>
          </w:tcPr>
          <w:p>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Mobility type:  Semester(s)</w:t>
            </w:r>
          </w:p>
        </w:tc>
        <w:tc>
          <w:tcPr>
            <w:tcW w:w="8306" w:type="dxa"/>
          </w:tcPr>
          <w:p>
            <w:pPr>
              <w:spacing w:after="120" w:line="240" w:lineRule="auto"/>
              <w:ind w:right="28"/>
              <w:jc w:val="both"/>
              <w:rPr>
                <w:rFonts w:cstheme="minorHAnsi"/>
                <w:sz w:val="20"/>
                <w:szCs w:val="20"/>
                <w:lang w:val="en-GB"/>
              </w:rPr>
            </w:pPr>
            <w:r>
              <w:rPr>
                <w:rFonts w:ascii="Calibri" w:eastAsia="Times New Roman" w:hAnsi="Calibri" w:cs="Arial"/>
                <w:bCs/>
                <w:iCs/>
                <w:color w:val="000000"/>
                <w:sz w:val="20"/>
                <w:szCs w:val="16"/>
                <w:lang w:val="en-GB" w:eastAsia="en-GB"/>
              </w:rPr>
              <w:t>A study period abroad lasting</w:t>
            </w:r>
            <w:r>
              <w:rPr>
                <w:rFonts w:ascii="Calibri" w:hAnsi="Calibri"/>
                <w:sz w:val="20"/>
                <w:szCs w:val="20"/>
                <w:lang w:val="en-GB"/>
              </w:rPr>
              <w:t xml:space="preserve"> at least one academic term/trimester or 2 months to 12 months</w:t>
            </w:r>
          </w:p>
        </w:tc>
      </w:tr>
      <w:tr>
        <w:trPr>
          <w:trHeight w:val="70"/>
        </w:trPr>
        <w:tc>
          <w:tcPr>
            <w:tcW w:w="2376" w:type="dxa"/>
          </w:tcPr>
          <w:p>
            <w:pPr>
              <w:spacing w:after="120" w:line="240" w:lineRule="auto"/>
              <w:ind w:right="28"/>
              <w:rPr>
                <w:rFonts w:cstheme="minorHAnsi"/>
                <w:b/>
                <w:sz w:val="20"/>
                <w:lang w:val="en-GB"/>
              </w:rPr>
            </w:pPr>
            <w:r>
              <w:rPr>
                <w:rFonts w:cstheme="minorHAnsi"/>
                <w:b/>
                <w:sz w:val="20"/>
                <w:lang w:val="en-GB"/>
              </w:rPr>
              <w:t xml:space="preserve">Blended mobility </w:t>
            </w:r>
          </w:p>
        </w:tc>
        <w:tc>
          <w:tcPr>
            <w:tcW w:w="8306" w:type="dxa"/>
          </w:tcPr>
          <w:p>
            <w:pPr>
              <w:spacing w:after="120" w:line="240" w:lineRule="auto"/>
              <w:ind w:right="28"/>
              <w:jc w:val="both"/>
              <w:rPr>
                <w:rFonts w:cstheme="minorHAnsi"/>
                <w:sz w:val="20"/>
                <w:szCs w:val="20"/>
                <w:lang w:val="en-GB"/>
              </w:rPr>
            </w:pPr>
            <w:r>
              <w:rPr>
                <w:rFonts w:ascii="Calibri" w:eastAsia="Times New Roman" w:hAnsi="Calibri"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trPr>
          <w:trHeight w:val="70"/>
        </w:trPr>
        <w:tc>
          <w:tcPr>
            <w:tcW w:w="2376" w:type="dxa"/>
          </w:tcPr>
          <w:p>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306" w:type="dxa"/>
          </w:tcPr>
          <w:p>
            <w:pPr>
              <w:jc w:val="both"/>
              <w:rPr>
                <w:rFonts w:ascii="Calibri" w:hAnsi="Calibri" w:cs="Arial"/>
                <w:sz w:val="20"/>
                <w:szCs w:val="20"/>
                <w:lang w:val="en-GB"/>
              </w:rPr>
            </w:pPr>
            <w:r>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trPr>
          <w:trHeight w:val="70"/>
        </w:trPr>
        <w:tc>
          <w:tcPr>
            <w:tcW w:w="2376" w:type="dxa"/>
          </w:tcPr>
          <w:p>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Blended mobility with short term physical mobility</w:t>
            </w:r>
          </w:p>
        </w:tc>
        <w:tc>
          <w:tcPr>
            <w:tcW w:w="8306" w:type="dxa"/>
          </w:tcPr>
          <w:p>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faciliate an online learning exchange and/or teamwork. </w:t>
            </w:r>
          </w:p>
        </w:tc>
      </w:tr>
      <w:tr>
        <w:trPr>
          <w:trHeight w:val="70"/>
        </w:trPr>
        <w:tc>
          <w:tcPr>
            <w:tcW w:w="2376" w:type="dxa"/>
          </w:tcPr>
          <w:p>
            <w:pPr>
              <w:spacing w:after="120" w:line="240" w:lineRule="auto"/>
              <w:ind w:right="28"/>
              <w:rPr>
                <w:rFonts w:ascii="Calibri" w:eastAsia="Times New Roman" w:hAnsi="Calibri" w:cs="Arial"/>
                <w:b/>
                <w:iCs/>
                <w:color w:val="000000"/>
                <w:sz w:val="20"/>
                <w:szCs w:val="16"/>
                <w:lang w:val="en-GB" w:eastAsia="en-GB"/>
              </w:rPr>
            </w:pPr>
            <w:r>
              <w:rPr>
                <w:rFonts w:ascii="Calibri" w:eastAsia="Times New Roman" w:hAnsi="Calibri" w:cs="Arial"/>
                <w:b/>
                <w:iCs/>
                <w:color w:val="000000"/>
                <w:sz w:val="20"/>
                <w:szCs w:val="16"/>
                <w:lang w:val="en-GB" w:eastAsia="en-GB"/>
              </w:rPr>
              <w:t>Short-term doctoral mobility</w:t>
            </w:r>
          </w:p>
        </w:tc>
        <w:tc>
          <w:tcPr>
            <w:tcW w:w="8306" w:type="dxa"/>
          </w:tcPr>
          <w:p>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faciliate an online learning exchange and/or teamwork can be added to further enhance the learning outcomes. </w:t>
            </w:r>
          </w:p>
        </w:tc>
      </w:tr>
      <w:tr>
        <w:trPr>
          <w:trHeight w:val="70"/>
        </w:trPr>
        <w:tc>
          <w:tcPr>
            <w:tcW w:w="2376" w:type="dxa"/>
          </w:tcPr>
          <w:p>
            <w:pPr>
              <w:spacing w:after="120" w:line="240" w:lineRule="auto"/>
              <w:ind w:right="28"/>
              <w:rPr>
                <w:rFonts w:ascii="Calibri" w:eastAsia="Times New Roman" w:hAnsi="Calibri" w:cs="Arial"/>
                <w:b/>
                <w:iCs/>
                <w:color w:val="000000"/>
                <w:sz w:val="20"/>
                <w:szCs w:val="16"/>
                <w:lang w:val="en-GB" w:eastAsia="en-GB"/>
              </w:rPr>
            </w:pPr>
            <w:r>
              <w:rPr>
                <w:rFonts w:ascii="Calibri" w:eastAsia="Times New Roman" w:hAnsi="Calibri" w:cs="Arial"/>
                <w:b/>
                <w:iCs/>
                <w:color w:val="000000"/>
                <w:sz w:val="20"/>
                <w:szCs w:val="16"/>
                <w:lang w:val="en-GB" w:eastAsia="en-GB"/>
              </w:rPr>
              <w:t>ECTS credits (or equivalent)</w:t>
            </w:r>
          </w:p>
        </w:tc>
        <w:tc>
          <w:tcPr>
            <w:tcW w:w="8306" w:type="dxa"/>
          </w:tcPr>
          <w:p>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w:t>
            </w:r>
            <w:hyperlink r:id="rId19" w:history="1">
              <w:r>
                <w:rPr>
                  <w:rStyle w:val="Hyperlink"/>
                  <w:rFonts w:asciiTheme="minorHAnsi" w:hAnsiTheme="minorHAnsi" w:cstheme="minorHAnsi"/>
                  <w:lang w:val="en-GB"/>
                </w:rPr>
                <w:t>"ECTS" system</w:t>
              </w:r>
            </w:hyperlink>
            <w:r>
              <w:rPr>
                <w:rFonts w:asciiTheme="minorHAnsi" w:hAnsiTheme="minorHAnsi" w:cstheme="minorHAnsi"/>
                <w:lang w:val="en-GB"/>
              </w:rPr>
              <w:t xml:space="preserve">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trPr>
          <w:trHeight w:val="70"/>
        </w:trPr>
        <w:tc>
          <w:tcPr>
            <w:tcW w:w="2376" w:type="dxa"/>
          </w:tcPr>
          <w:p>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Automatic recognition </w:t>
            </w:r>
          </w:p>
        </w:tc>
        <w:tc>
          <w:tcPr>
            <w:tcW w:w="8306" w:type="dxa"/>
          </w:tcPr>
          <w:p>
            <w:pPr>
              <w:spacing w:after="120" w:line="240" w:lineRule="auto"/>
              <w:ind w:right="28"/>
              <w:jc w:val="both"/>
              <w:rPr>
                <w:rFonts w:cstheme="minorHAnsi"/>
                <w:sz w:val="20"/>
                <w:szCs w:val="20"/>
                <w:lang w:val="en-GB"/>
              </w:rPr>
            </w:pPr>
            <w:r>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w:t>
            </w:r>
            <w:r>
              <w:rPr>
                <w:rFonts w:ascii="Calibri" w:hAnsi="Calibri" w:cs="Arial"/>
                <w:sz w:val="20"/>
                <w:szCs w:val="20"/>
                <w:lang w:val="en-GB"/>
              </w:rPr>
              <w:lastRenderedPageBreak/>
              <w:t xml:space="preserve">and an indication on what other type of formal recognition will be applied e.g. registration in the students’ </w:t>
            </w:r>
            <w:hyperlink r:id="rId20" w:history="1">
              <w:r>
                <w:rPr>
                  <w:rStyle w:val="Hyperlink"/>
                  <w:rFonts w:ascii="Calibri" w:hAnsi="Calibri" w:cs="Arial"/>
                  <w:sz w:val="20"/>
                  <w:szCs w:val="20"/>
                  <w:lang w:val="en-GB"/>
                </w:rPr>
                <w:t>diploma supplement</w:t>
              </w:r>
            </w:hyperlink>
            <w:r>
              <w:rPr>
                <w:rFonts w:ascii="Calibri" w:hAnsi="Calibri" w:cs="Arial"/>
                <w:sz w:val="20"/>
                <w:szCs w:val="20"/>
                <w:lang w:val="en-GB"/>
              </w:rPr>
              <w:t xml:space="preserve"> or </w:t>
            </w:r>
            <w:hyperlink r:id="rId21" w:history="1">
              <w:r>
                <w:rPr>
                  <w:rStyle w:val="Hyperlink"/>
                  <w:rFonts w:ascii="Calibri" w:hAnsi="Calibri" w:cs="Arial"/>
                  <w:sz w:val="20"/>
                  <w:szCs w:val="20"/>
                  <w:lang w:val="en-GB"/>
                </w:rPr>
                <w:t>Europass</w:t>
              </w:r>
            </w:hyperlink>
            <w:r>
              <w:rPr>
                <w:rFonts w:ascii="Calibri" w:hAnsi="Calibri" w:cs="Arial"/>
                <w:sz w:val="20"/>
                <w:szCs w:val="20"/>
                <w:lang w:val="en-GB"/>
              </w:rPr>
              <w:t xml:space="preserve"> Mobility Document. </w:t>
            </w:r>
          </w:p>
        </w:tc>
      </w:tr>
      <w:tr>
        <w:tc>
          <w:tcPr>
            <w:tcW w:w="2376" w:type="dxa"/>
          </w:tcPr>
          <w:p>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306" w:type="dxa"/>
          </w:tcPr>
          <w:p>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tc>
          <w:tcPr>
            <w:tcW w:w="2376" w:type="dxa"/>
          </w:tcPr>
          <w:p>
            <w:pPr>
              <w:spacing w:after="120" w:line="240" w:lineRule="auto"/>
              <w:ind w:right="28"/>
              <w:rPr>
                <w:rFonts w:cstheme="minorHAnsi"/>
                <w:b/>
                <w:sz w:val="20"/>
                <w:szCs w:val="20"/>
                <w:lang w:val="en-GB"/>
              </w:rPr>
            </w:pPr>
            <w:r>
              <w:rPr>
                <w:rFonts w:cstheme="minorHAnsi"/>
                <w:b/>
                <w:sz w:val="20"/>
                <w:lang w:val="en-GB"/>
              </w:rPr>
              <w:t>Level of language competence</w:t>
            </w:r>
          </w:p>
        </w:tc>
        <w:tc>
          <w:tcPr>
            <w:tcW w:w="8306" w:type="dxa"/>
          </w:tcPr>
          <w:p>
            <w:pPr>
              <w:pStyle w:val="Endnotentext"/>
              <w:spacing w:before="120" w:after="120"/>
              <w:jc w:val="both"/>
              <w:rPr>
                <w:rFonts w:cstheme="minorHAnsi"/>
                <w:lang w:val="en-GB"/>
              </w:rPr>
            </w:pPr>
            <w:r>
              <w:rPr>
                <w:rFonts w:cstheme="minorHAnsi"/>
                <w:lang w:val="en-GB"/>
              </w:rPr>
              <w:t xml:space="preserve">A description of the European Language Levels (CEFR) is available at: </w:t>
            </w:r>
            <w:hyperlink r:id="rId22" w:history="1">
              <w:r>
                <w:rPr>
                  <w:rStyle w:val="Hyperlink"/>
                  <w:rFonts w:cstheme="minorHAnsi"/>
                  <w:lang w:val="en-GB"/>
                </w:rPr>
                <w:t>https://europass.cedefop.europa.eu/en/resources/european-language-levels-cefr</w:t>
              </w:r>
            </w:hyperlink>
          </w:p>
        </w:tc>
      </w:tr>
      <w:tr>
        <w:tc>
          <w:tcPr>
            <w:tcW w:w="2376" w:type="dxa"/>
          </w:tcPr>
          <w:p>
            <w:pPr>
              <w:spacing w:after="120" w:line="240" w:lineRule="auto"/>
              <w:ind w:right="28"/>
              <w:rPr>
                <w:rFonts w:cstheme="minorHAnsi"/>
                <w:b/>
                <w:sz w:val="20"/>
                <w:lang w:val="en-GB"/>
              </w:rPr>
            </w:pPr>
            <w:r>
              <w:rPr>
                <w:rFonts w:cstheme="minorHAnsi"/>
                <w:b/>
                <w:iCs/>
                <w:sz w:val="20"/>
                <w:lang w:val="en-GB"/>
              </w:rPr>
              <w:t>Course catalogue</w:t>
            </w:r>
          </w:p>
        </w:tc>
        <w:tc>
          <w:tcPr>
            <w:tcW w:w="8306" w:type="dxa"/>
          </w:tcPr>
          <w:p>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tc>
          <w:tcPr>
            <w:tcW w:w="2376" w:type="dxa"/>
          </w:tcPr>
          <w:p>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306" w:type="dxa"/>
          </w:tcPr>
          <w:p>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tc>
          <w:tcPr>
            <w:tcW w:w="2376" w:type="dxa"/>
          </w:tcPr>
          <w:p>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306" w:type="dxa"/>
          </w:tcPr>
          <w:p>
            <w:pPr>
              <w:pStyle w:val="Funotentext"/>
              <w:numPr>
                <w:ilvl w:val="0"/>
                <w:numId w:val="5"/>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pPr>
              <w:pStyle w:val="Funotentext"/>
              <w:numPr>
                <w:ilvl w:val="0"/>
                <w:numId w:val="5"/>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pPr>
              <w:pStyle w:val="Funotentext"/>
              <w:numPr>
                <w:ilvl w:val="0"/>
                <w:numId w:val="5"/>
              </w:numPr>
              <w:spacing w:after="0"/>
              <w:rPr>
                <w:rFonts w:asciiTheme="minorHAnsi" w:hAnsiTheme="minorHAnsi" w:cstheme="minorHAnsi"/>
                <w:u w:val="single"/>
                <w:lang w:val="en-GB"/>
              </w:rPr>
            </w:pPr>
            <w:r>
              <w:rPr>
                <w:rFonts w:asciiTheme="minorHAnsi" w:hAnsiTheme="minorHAnsi" w:cstheme="minorHAnsi"/>
                <w:lang w:val="en-GB"/>
              </w:rPr>
              <w:t>Timetable conflict</w:t>
            </w:r>
          </w:p>
          <w:p>
            <w:pPr>
              <w:pStyle w:val="Funotentext"/>
              <w:numPr>
                <w:ilvl w:val="0"/>
                <w:numId w:val="5"/>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tc>
          <w:tcPr>
            <w:tcW w:w="2376" w:type="dxa"/>
          </w:tcPr>
          <w:p>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306" w:type="dxa"/>
          </w:tcPr>
          <w:p>
            <w:pPr>
              <w:pStyle w:val="Funotentext"/>
              <w:numPr>
                <w:ilvl w:val="0"/>
                <w:numId w:val="5"/>
              </w:numPr>
              <w:spacing w:after="0"/>
              <w:rPr>
                <w:rFonts w:asciiTheme="minorHAnsi" w:hAnsiTheme="minorHAnsi" w:cstheme="minorHAnsi"/>
                <w:lang w:val="en-GB"/>
              </w:rPr>
            </w:pPr>
            <w:r>
              <w:rPr>
                <w:rFonts w:asciiTheme="minorHAnsi" w:hAnsiTheme="minorHAnsi" w:cstheme="minorHAnsi"/>
                <w:lang w:val="en-GB"/>
              </w:rPr>
              <w:t>Substituting a deleted component</w:t>
            </w:r>
          </w:p>
          <w:p>
            <w:pPr>
              <w:pStyle w:val="Funotentext"/>
              <w:numPr>
                <w:ilvl w:val="0"/>
                <w:numId w:val="5"/>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pPr>
              <w:pStyle w:val="Funotentext"/>
              <w:numPr>
                <w:ilvl w:val="0"/>
                <w:numId w:val="5"/>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pPr>
              <w:pStyle w:val="Funotentext"/>
              <w:numPr>
                <w:ilvl w:val="0"/>
                <w:numId w:val="5"/>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pPr>
        <w:spacing w:after="120" w:line="240" w:lineRule="auto"/>
        <w:ind w:right="28"/>
        <w:jc w:val="center"/>
        <w:rPr>
          <w:rFonts w:ascii="Verdana" w:eastAsia="Times New Roman" w:hAnsi="Verdana" w:cs="Arial"/>
          <w:b/>
          <w:color w:val="002060"/>
          <w:sz w:val="28"/>
          <w:szCs w:val="36"/>
          <w:lang w:val="en-GB"/>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Pr>
      <w:color w:val="0563C1" w:themeColor="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Pr>
      <w:rFonts w:ascii="Times New Roman" w:eastAsia="Times New Roman" w:hAnsi="Times New Roman" w:cs="Times New Roman"/>
      <w:sz w:val="20"/>
      <w:szCs w:val="20"/>
      <w:lang w:val="fr-FR"/>
    </w:rPr>
  </w:style>
  <w:style w:type="character" w:styleId="Endnotenzeichen">
    <w:name w:val="endnote reference"/>
    <w:rPr>
      <w:vertAlign w:val="superscript"/>
    </w:rPr>
  </w:style>
  <w:style w:type="paragraph" w:styleId="Endnotentext">
    <w:name w:val="endnote text"/>
    <w:basedOn w:val="Standard"/>
    <w:link w:val="EndnotentextZchn"/>
    <w:unhideWhenUsed/>
    <w:pPr>
      <w:spacing w:after="0" w:line="240" w:lineRule="auto"/>
    </w:pPr>
    <w:rPr>
      <w:sz w:val="20"/>
      <w:szCs w:val="20"/>
    </w:rPr>
  </w:style>
  <w:style w:type="character" w:customStyle="1" w:styleId="EndnotentextZchn">
    <w:name w:val="Endnotentext Zchn"/>
    <w:basedOn w:val="Absatz-Standardschriftart"/>
    <w:link w:val="Endnotentext"/>
    <w:uiPriority w:val="99"/>
    <w:rPr>
      <w:sz w:val="20"/>
      <w:szCs w:val="20"/>
      <w:lang w:val="it-I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lang w:val="it-I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954F72" w:themeColor="followedHyperlink"/>
      <w:u w:val="single"/>
    </w:rPr>
  </w:style>
  <w:style w:type="paragraph" w:styleId="Sprechblasentext">
    <w:name w:val="Balloon Text"/>
    <w:basedOn w:val="Standard"/>
    <w:link w:val="SprechblasentextZchn"/>
    <w:uiPriority w:val="99"/>
    <w:semiHidden/>
    <w:unhideWhenUse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lang w:val="it-IT"/>
    </w:rPr>
  </w:style>
  <w:style w:type="paragraph" w:styleId="Kopfzeile">
    <w:name w:val="header"/>
    <w:basedOn w:val="Standard"/>
    <w:link w:val="KopfzeileZchn"/>
    <w:uiPriority w:val="99"/>
    <w:semiHidden/>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Pr>
      <w:lang w:val="it-IT"/>
    </w:rPr>
  </w:style>
  <w:style w:type="paragraph" w:styleId="Fuzeile">
    <w:name w:val="footer"/>
    <w:basedOn w:val="Standard"/>
    <w:link w:val="FuzeileZchn"/>
    <w:uiPriority w:val="99"/>
    <w:semiHidden/>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15750C-02F8-478C-AE74-8E8C8A99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9685</Characters>
  <Application>Microsoft Office Word</Application>
  <DocSecurity>0</DocSecurity>
  <Lines>440</Lines>
  <Paragraphs>316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10752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Rohe, Laura</cp:lastModifiedBy>
  <cp:revision>2</cp:revision>
  <cp:lastPrinted>2021-02-09T14:36:00Z</cp:lastPrinted>
  <dcterms:created xsi:type="dcterms:W3CDTF">2023-05-03T10:11:00Z</dcterms:created>
  <dcterms:modified xsi:type="dcterms:W3CDTF">2023-05-03T10:11:00Z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